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0" w:firstLine="720"/>
      </w:pPr>
      <w:r>
        <w:tab/>
      </w:r>
      <w:r>
        <w:drawing>
          <wp:inline distT="0" distB="0" distL="0" distR="0">
            <wp:extent cx="1026795" cy="681355"/>
            <wp:effectExtent l="0" t="0" r="1902" b="4444"/>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rcRect/>
                    <a:stretch>
                      <a:fillRect/>
                    </a:stretch>
                  </pic:blipFill>
                  <pic:spPr>
                    <a:xfrm>
                      <a:off x="0" y="0"/>
                      <a:ext cx="1026798" cy="681356"/>
                    </a:xfrm>
                    <a:prstGeom prst="rect">
                      <a:avLst/>
                    </a:prstGeom>
                    <a:noFill/>
                    <a:ln>
                      <a:noFill/>
                      <a:prstDash val="solid"/>
                    </a:ln>
                  </pic:spPr>
                </pic:pic>
              </a:graphicData>
            </a:graphic>
          </wp:inline>
        </w:drawing>
      </w:r>
    </w:p>
    <w:p>
      <w:pPr>
        <w:autoSpaceDE w:val="0"/>
        <w:spacing w:after="0"/>
        <w:rPr>
          <w:rFonts w:ascii="Times New Roman" w:hAnsi="Times New Roman" w:eastAsia="Calibri"/>
          <w:b/>
          <w:bCs/>
        </w:rPr>
      </w:pPr>
      <w:r>
        <w:rPr>
          <w:rFonts w:ascii="Times New Roman" w:hAnsi="Times New Roman" w:eastAsia="Calibri"/>
          <w:b/>
          <w:bCs/>
        </w:rPr>
        <w:t xml:space="preserve"> </w:t>
      </w:r>
    </w:p>
    <w:p>
      <w:pPr>
        <w:autoSpaceDE w:val="0"/>
        <w:spacing w:after="0"/>
        <w:rPr>
          <w:rFonts w:hint="default" w:ascii="Times New Roman" w:hAnsi="Times New Roman" w:eastAsia="Calibri"/>
          <w:b/>
          <w:bCs/>
          <w:lang w:val="en-US"/>
        </w:rPr>
      </w:pPr>
    </w:p>
    <w:p>
      <w:pPr>
        <w:autoSpaceDE w:val="0"/>
        <w:spacing w:after="0"/>
        <w:rPr>
          <w:sz w:val="22"/>
          <w:szCs w:val="22"/>
        </w:rPr>
      </w:pPr>
      <w:r>
        <w:rPr>
          <w:rFonts w:ascii="Times New Roman" w:hAnsi="Times New Roman" w:eastAsia="Calibri"/>
          <w:b/>
          <w:bCs/>
          <w:sz w:val="22"/>
          <w:szCs w:val="22"/>
        </w:rPr>
        <w:t xml:space="preserve">From: </w:t>
      </w:r>
      <w:r>
        <w:rPr>
          <w:rFonts w:ascii="Times New Roman" w:hAnsi="Times New Roman" w:eastAsia="Calibri"/>
          <w:sz w:val="22"/>
          <w:szCs w:val="22"/>
        </w:rPr>
        <w:t>Human Resource Department</w:t>
      </w:r>
    </w:p>
    <w:p>
      <w:pPr>
        <w:autoSpaceDE w:val="0"/>
        <w:spacing w:after="0"/>
        <w:rPr>
          <w:sz w:val="22"/>
          <w:szCs w:val="22"/>
        </w:rPr>
      </w:pPr>
      <w:r>
        <w:rPr>
          <w:rFonts w:ascii="Times New Roman" w:hAnsi="Times New Roman" w:eastAsia="Calibri"/>
          <w:b/>
          <w:bCs/>
          <w:sz w:val="22"/>
          <w:szCs w:val="22"/>
        </w:rPr>
        <w:t xml:space="preserve">TO: </w:t>
      </w:r>
      <w:r>
        <w:rPr>
          <w:rFonts w:ascii="Times New Roman" w:hAnsi="Times New Roman" w:eastAsia="Calibri"/>
          <w:sz w:val="22"/>
          <w:szCs w:val="22"/>
        </w:rPr>
        <w:t>Gabriel Ntoka</w:t>
      </w:r>
    </w:p>
    <w:p>
      <w:pPr>
        <w:autoSpaceDE w:val="0"/>
        <w:spacing w:after="0"/>
        <w:rPr>
          <w:sz w:val="22"/>
          <w:szCs w:val="22"/>
        </w:rPr>
      </w:pPr>
      <w:r>
        <w:rPr>
          <w:rFonts w:ascii="Times New Roman" w:hAnsi="Times New Roman" w:eastAsia="Calibri"/>
          <w:b/>
          <w:bCs/>
          <w:sz w:val="22"/>
          <w:szCs w:val="22"/>
        </w:rPr>
        <w:t>Role:</w:t>
      </w:r>
      <w:r>
        <w:rPr>
          <w:rFonts w:ascii="Times New Roman" w:hAnsi="Times New Roman" w:eastAsia="Calibri"/>
          <w:sz w:val="22"/>
          <w:szCs w:val="22"/>
        </w:rPr>
        <w:t xml:space="preserve"> Associate Consultant, Research and Intelligence</w:t>
      </w:r>
    </w:p>
    <w:p>
      <w:pPr>
        <w:autoSpaceDE w:val="0"/>
        <w:spacing w:after="0"/>
        <w:rPr>
          <w:sz w:val="22"/>
          <w:szCs w:val="22"/>
        </w:rPr>
      </w:pPr>
      <w:r>
        <w:rPr>
          <w:rFonts w:ascii="Times New Roman" w:hAnsi="Times New Roman" w:eastAsia="Calibri"/>
          <w:b/>
          <w:bCs/>
          <w:sz w:val="22"/>
          <w:szCs w:val="22"/>
        </w:rPr>
        <w:t xml:space="preserve">Overseeing: </w:t>
      </w:r>
      <w:r>
        <w:rPr>
          <w:rFonts w:ascii="Times New Roman" w:hAnsi="Times New Roman" w:eastAsia="Calibri"/>
          <w:sz w:val="22"/>
          <w:szCs w:val="22"/>
        </w:rPr>
        <w:t>Research and Intelligence Team</w:t>
      </w:r>
    </w:p>
    <w:p>
      <w:pPr>
        <w:autoSpaceDE w:val="0"/>
        <w:spacing w:after="0"/>
        <w:rPr>
          <w:sz w:val="22"/>
          <w:szCs w:val="22"/>
        </w:rPr>
      </w:pPr>
      <w:r>
        <w:rPr>
          <w:rFonts w:ascii="Times New Roman" w:hAnsi="Times New Roman" w:eastAsia="Calibri"/>
          <w:b/>
          <w:bCs/>
          <w:sz w:val="22"/>
          <w:szCs w:val="22"/>
        </w:rPr>
        <w:t>Reports to:</w:t>
      </w:r>
      <w:r>
        <w:rPr>
          <w:rFonts w:ascii="Times New Roman" w:hAnsi="Times New Roman" w:eastAsia="Calibri"/>
          <w:sz w:val="22"/>
          <w:szCs w:val="22"/>
        </w:rPr>
        <w:t xml:space="preserve"> Funke</w:t>
      </w:r>
      <w:r>
        <w:rPr>
          <w:rFonts w:hint="default" w:ascii="Times New Roman" w:hAnsi="Times New Roman" w:eastAsia="Calibri"/>
          <w:sz w:val="22"/>
          <w:szCs w:val="22"/>
          <w:lang w:val="en-US"/>
        </w:rPr>
        <w:t xml:space="preserve">, </w:t>
      </w:r>
      <w:bookmarkStart w:id="0" w:name="_GoBack"/>
      <w:bookmarkEnd w:id="0"/>
      <w:r>
        <w:rPr>
          <w:rFonts w:hint="default" w:ascii="Times New Roman" w:hAnsi="Times New Roman" w:eastAsia="Calibri"/>
          <w:sz w:val="22"/>
          <w:szCs w:val="22"/>
          <w:lang w:val="en-US"/>
        </w:rPr>
        <w:t>Kingsley</w:t>
      </w:r>
      <w:r>
        <w:rPr>
          <w:rFonts w:ascii="Times New Roman" w:hAnsi="Times New Roman" w:eastAsia="Calibri"/>
          <w:sz w:val="22"/>
          <w:szCs w:val="22"/>
        </w:rPr>
        <w:t xml:space="preserve"> and MD </w:t>
      </w:r>
    </w:p>
    <w:p>
      <w:pPr>
        <w:rPr>
          <w:rFonts w:ascii="Times New Roman" w:hAnsi="Times New Roman" w:eastAsia="Calibri"/>
          <w:sz w:val="22"/>
          <w:szCs w:val="22"/>
        </w:rPr>
      </w:pPr>
      <w:r>
        <w:rPr>
          <w:rFonts w:ascii="Times New Roman" w:hAnsi="Times New Roman" w:eastAsia="Calibri"/>
          <w:sz w:val="22"/>
          <w:szCs w:val="22"/>
        </w:rPr>
        <w:t xml:space="preserve"> </w:t>
      </w:r>
    </w:p>
    <w:p>
      <w:pPr>
        <w:rPr>
          <w:rFonts w:ascii="Times New Roman" w:hAnsi="Times New Roman" w:eastAsia="Calibri"/>
          <w:b/>
          <w:bCs/>
          <w:sz w:val="22"/>
          <w:szCs w:val="22"/>
        </w:rPr>
      </w:pPr>
      <w:r>
        <w:rPr>
          <w:rFonts w:ascii="Times New Roman" w:hAnsi="Times New Roman" w:eastAsia="Calibri"/>
          <w:b/>
          <w:bCs/>
          <w:sz w:val="22"/>
          <w:szCs w:val="22"/>
        </w:rPr>
        <w:t>Job objective</w:t>
      </w:r>
    </w:p>
    <w:p>
      <w:pPr>
        <w:rPr>
          <w:rFonts w:ascii="Times New Roman" w:hAnsi="Times New Roman" w:eastAsia="Calibri"/>
          <w:sz w:val="22"/>
          <w:szCs w:val="22"/>
        </w:rPr>
      </w:pPr>
      <w:r>
        <w:rPr>
          <w:rFonts w:ascii="Times New Roman" w:hAnsi="Times New Roman" w:eastAsia="Calibri"/>
          <w:sz w:val="22"/>
          <w:szCs w:val="22"/>
        </w:rPr>
        <w:t>To lead the Research, Monitoring and Intelligence team in providing research information, analyze data to generate insights, monitor and report industry, economy, business, politics, trends, conversations and policies. To create insights and opportunities that guide client’s business decisions.</w:t>
      </w:r>
    </w:p>
    <w:p>
      <w:pPr>
        <w:shd w:val="clear" w:color="auto" w:fill="FFFFFF"/>
        <w:tabs>
          <w:tab w:val="left" w:pos="6426"/>
        </w:tabs>
        <w:spacing w:after="0"/>
        <w:rPr>
          <w:rFonts w:ascii="Times New Roman" w:hAnsi="Times New Roman"/>
          <w:b/>
          <w:bCs/>
          <w:sz w:val="22"/>
          <w:szCs w:val="22"/>
        </w:rPr>
      </w:pPr>
    </w:p>
    <w:p>
      <w:pPr>
        <w:shd w:val="clear" w:color="auto" w:fill="FFFFFF"/>
        <w:tabs>
          <w:tab w:val="left" w:pos="6426"/>
        </w:tabs>
        <w:spacing w:after="0"/>
        <w:rPr>
          <w:rFonts w:ascii="Times New Roman" w:hAnsi="Times New Roman"/>
          <w:b/>
          <w:bCs/>
          <w:sz w:val="22"/>
          <w:szCs w:val="22"/>
        </w:rPr>
      </w:pPr>
      <w:r>
        <w:rPr>
          <w:rFonts w:ascii="Times New Roman" w:hAnsi="Times New Roman"/>
          <w:b/>
          <w:bCs/>
          <w:sz w:val="22"/>
          <w:szCs w:val="22"/>
        </w:rPr>
        <w:t>Job Responsibilities</w:t>
      </w:r>
      <w:r>
        <w:rPr>
          <w:rFonts w:ascii="Times New Roman" w:hAnsi="Times New Roman"/>
          <w:b/>
          <w:bCs/>
          <w:sz w:val="22"/>
          <w:szCs w:val="22"/>
        </w:rPr>
        <w:tab/>
      </w:r>
    </w:p>
    <w:p>
      <w:pPr>
        <w:shd w:val="clear" w:color="auto" w:fill="FFFFFF"/>
        <w:tabs>
          <w:tab w:val="left" w:pos="6426"/>
        </w:tabs>
        <w:spacing w:after="0"/>
        <w:rPr>
          <w:rFonts w:ascii="Times New Roman" w:hAnsi="Times New Roman"/>
          <w:b/>
          <w:bCs/>
          <w:sz w:val="22"/>
          <w:szCs w:val="22"/>
        </w:rPr>
      </w:pPr>
    </w:p>
    <w:p>
      <w:pPr>
        <w:numPr>
          <w:ilvl w:val="0"/>
          <w:numId w:val="1"/>
        </w:numPr>
        <w:shd w:val="clear" w:color="auto" w:fill="FFFFFF"/>
        <w:autoSpaceDE w:val="0"/>
        <w:spacing w:after="0"/>
        <w:rPr>
          <w:sz w:val="22"/>
          <w:szCs w:val="22"/>
        </w:rPr>
      </w:pPr>
      <w:r>
        <w:rPr>
          <w:rFonts w:ascii="Times New Roman" w:hAnsi="Times New Roman"/>
          <w:color w:val="000000"/>
          <w:sz w:val="22"/>
          <w:szCs w:val="22"/>
        </w:rPr>
        <w:t>Set job objectives that enable individual member contribution to the team</w:t>
      </w:r>
    </w:p>
    <w:p>
      <w:pPr>
        <w:pStyle w:val="5"/>
        <w:numPr>
          <w:ilvl w:val="0"/>
          <w:numId w:val="1"/>
        </w:numPr>
        <w:shd w:val="clear" w:color="auto" w:fill="FFFFFF"/>
        <w:spacing w:after="0"/>
        <w:rPr>
          <w:rFonts w:ascii="Times New Roman" w:hAnsi="Times New Roman"/>
          <w:sz w:val="22"/>
          <w:szCs w:val="22"/>
        </w:rPr>
      </w:pPr>
      <w:r>
        <w:rPr>
          <w:rFonts w:ascii="Times New Roman" w:hAnsi="Times New Roman"/>
          <w:sz w:val="22"/>
          <w:szCs w:val="22"/>
        </w:rPr>
        <w:t>Lead the team in crisis and reputation management on behalf of the clients through tracking key messages, issues and audience sentiment across different media channels thereby helping the company uncover new opportunities for marketing, and other interventions.</w:t>
      </w:r>
    </w:p>
    <w:p>
      <w:pPr>
        <w:pStyle w:val="5"/>
        <w:numPr>
          <w:ilvl w:val="0"/>
          <w:numId w:val="2"/>
        </w:numPr>
        <w:suppressAutoHyphens w:val="0"/>
        <w:autoSpaceDN/>
        <w:spacing w:beforeAutospacing="1" w:after="0" w:line="273" w:lineRule="auto"/>
        <w:contextualSpacing/>
        <w:textAlignment w:val="auto"/>
        <w:rPr>
          <w:rFonts w:ascii="Times New Roman" w:hAnsi="Times New Roman"/>
          <w:spacing w:val="3"/>
          <w:sz w:val="22"/>
          <w:szCs w:val="22"/>
        </w:rPr>
      </w:pPr>
      <w:r>
        <w:rPr>
          <w:rFonts w:ascii="Times New Roman" w:hAnsi="Times New Roman"/>
          <w:spacing w:val="3"/>
          <w:sz w:val="22"/>
          <w:szCs w:val="22"/>
        </w:rPr>
        <w:t>Compile and present executive reports for the attention of the client, giving a comprehensive overview of the media landscape, key stories, emerging trends, and any potential reputational risks or opportunities.</w:t>
      </w:r>
    </w:p>
    <w:p>
      <w:pPr>
        <w:pStyle w:val="4"/>
        <w:numPr>
          <w:ilvl w:val="0"/>
          <w:numId w:val="2"/>
        </w:numPr>
        <w:spacing w:before="0" w:beforeAutospacing="0" w:after="0" w:afterAutospacing="0"/>
        <w:textAlignment w:val="baseline"/>
        <w:rPr>
          <w:spacing w:val="3"/>
          <w:sz w:val="22"/>
          <w:szCs w:val="22"/>
        </w:rPr>
      </w:pPr>
      <w:r>
        <w:rPr>
          <w:spacing w:val="3"/>
          <w:sz w:val="22"/>
          <w:szCs w:val="22"/>
        </w:rPr>
        <w:t xml:space="preserve">Regularly conduct quality assurance of data feeds to ensure quality standards </w:t>
      </w:r>
    </w:p>
    <w:p>
      <w:pPr>
        <w:pStyle w:val="5"/>
        <w:numPr>
          <w:ilvl w:val="0"/>
          <w:numId w:val="2"/>
        </w:numPr>
        <w:shd w:val="clear" w:color="auto" w:fill="FFFFFF"/>
        <w:suppressAutoHyphens w:val="0"/>
        <w:autoSpaceDN/>
        <w:spacing w:beforeAutospacing="1" w:after="0" w:line="273" w:lineRule="auto"/>
        <w:contextualSpacing/>
        <w:textAlignment w:val="auto"/>
        <w:rPr>
          <w:rFonts w:ascii="Times New Roman" w:hAnsi="Times New Roman"/>
          <w:sz w:val="22"/>
          <w:szCs w:val="22"/>
        </w:rPr>
      </w:pPr>
      <w:r>
        <w:rPr>
          <w:rFonts w:ascii="Times New Roman" w:hAnsi="Times New Roman"/>
          <w:sz w:val="22"/>
          <w:szCs w:val="22"/>
        </w:rPr>
        <w:t>Compose and prepare daily, weekly and monthly reports for clients about their media occurrences, highlighting the nature of conversations, level of concern and recommendations.</w:t>
      </w:r>
    </w:p>
    <w:p>
      <w:pPr>
        <w:pStyle w:val="5"/>
        <w:numPr>
          <w:ilvl w:val="0"/>
          <w:numId w:val="2"/>
        </w:numPr>
        <w:shd w:val="clear" w:color="auto" w:fill="FFFFFF"/>
        <w:suppressAutoHyphens w:val="0"/>
        <w:autoSpaceDN/>
        <w:spacing w:beforeAutospacing="1" w:after="0" w:line="273" w:lineRule="auto"/>
        <w:contextualSpacing/>
        <w:textAlignment w:val="auto"/>
        <w:rPr>
          <w:rFonts w:ascii="Times New Roman" w:hAnsi="Times New Roman"/>
          <w:sz w:val="22"/>
          <w:szCs w:val="22"/>
        </w:rPr>
      </w:pPr>
      <w:r>
        <w:rPr>
          <w:rFonts w:ascii="Times New Roman" w:hAnsi="Times New Roman"/>
          <w:sz w:val="22"/>
          <w:szCs w:val="22"/>
        </w:rPr>
        <w:t>Provide real-time updates on stories that require immediate attention or response such as potential crisis and other reactive / urgent matters</w:t>
      </w:r>
      <w:r>
        <w:rPr>
          <w:sz w:val="22"/>
          <w:szCs w:val="22"/>
        </w:rPr>
        <w:t xml:space="preserve"> </w:t>
      </w:r>
      <w:r>
        <w:rPr>
          <w:rFonts w:ascii="Times New Roman" w:hAnsi="Times New Roman"/>
          <w:sz w:val="22"/>
          <w:szCs w:val="22"/>
        </w:rPr>
        <w:t>highlighting the nature of conversations, assessing the level of concern, and making recommendations.</w:t>
      </w:r>
    </w:p>
    <w:p>
      <w:pPr>
        <w:pStyle w:val="5"/>
        <w:numPr>
          <w:ilvl w:val="0"/>
          <w:numId w:val="2"/>
        </w:numPr>
        <w:shd w:val="clear" w:color="auto" w:fill="FFFFFF"/>
        <w:suppressAutoHyphens w:val="0"/>
        <w:autoSpaceDN/>
        <w:spacing w:beforeAutospacing="1" w:after="0" w:line="273" w:lineRule="auto"/>
        <w:contextualSpacing/>
        <w:textAlignment w:val="auto"/>
        <w:rPr>
          <w:rFonts w:ascii="Times New Roman" w:hAnsi="Times New Roman"/>
          <w:sz w:val="22"/>
          <w:szCs w:val="22"/>
        </w:rPr>
      </w:pPr>
      <w:r>
        <w:rPr>
          <w:rFonts w:ascii="Times New Roman" w:hAnsi="Times New Roman"/>
          <w:sz w:val="22"/>
          <w:szCs w:val="22"/>
        </w:rPr>
        <w:t>Identify and recommend communications solutions for clients based on the review of their results</w:t>
      </w:r>
    </w:p>
    <w:p>
      <w:pPr>
        <w:numPr>
          <w:ilvl w:val="0"/>
          <w:numId w:val="2"/>
        </w:numPr>
        <w:shd w:val="clear" w:color="auto" w:fill="F9F9F9"/>
        <w:suppressAutoHyphens w:val="0"/>
        <w:autoSpaceDN/>
        <w:spacing w:beforeAutospacing="1" w:after="0" w:line="273" w:lineRule="auto"/>
        <w:jc w:val="both"/>
        <w:textAlignment w:val="auto"/>
        <w:rPr>
          <w:rFonts w:ascii="Times New Roman" w:hAnsi="Times New Roman"/>
          <w:sz w:val="22"/>
          <w:szCs w:val="22"/>
        </w:rPr>
      </w:pPr>
      <w:r>
        <w:rPr>
          <w:rFonts w:ascii="Times New Roman" w:hAnsi="Times New Roman"/>
          <w:sz w:val="22"/>
          <w:szCs w:val="22"/>
        </w:rPr>
        <w:t>Attend to ad-hoc report requests as necessary, ensuring prompt delivery of accurate and relevant information.</w:t>
      </w:r>
    </w:p>
    <w:p>
      <w:pPr>
        <w:numPr>
          <w:ilvl w:val="0"/>
          <w:numId w:val="2"/>
        </w:numPr>
        <w:pBdr>
          <w:top w:val="single" w:color="E5E7EB" w:sz="2" w:space="0"/>
          <w:left w:val="single" w:color="E5E7EB" w:sz="2" w:space="0"/>
          <w:bottom w:val="single" w:color="E5E7EB" w:sz="2" w:space="18"/>
          <w:right w:val="single" w:color="E5E7EB" w:sz="2" w:space="0"/>
        </w:pBdr>
        <w:suppressAutoHyphens w:val="0"/>
        <w:autoSpaceDN/>
        <w:spacing w:beforeAutospacing="1" w:after="0" w:line="273" w:lineRule="auto"/>
        <w:textAlignment w:val="auto"/>
        <w:rPr>
          <w:rFonts w:ascii="Times New Roman" w:hAnsi="Times New Roman"/>
          <w:sz w:val="22"/>
          <w:szCs w:val="22"/>
        </w:rPr>
      </w:pPr>
      <w:r>
        <w:rPr>
          <w:rFonts w:ascii="Times New Roman" w:hAnsi="Times New Roman"/>
          <w:sz w:val="22"/>
          <w:szCs w:val="22"/>
        </w:rPr>
        <w:t>Collaborate to provide data-driven insights for other internal teams</w:t>
      </w:r>
    </w:p>
    <w:p>
      <w:pPr>
        <w:pStyle w:val="5"/>
        <w:rPr>
          <w:rFonts w:ascii="Times New Roman" w:hAnsi="Times New Roman" w:eastAsia="Calibri"/>
          <w:sz w:val="22"/>
          <w:szCs w:val="22"/>
        </w:rPr>
      </w:pPr>
    </w:p>
    <w:p>
      <w:pPr>
        <w:pStyle w:val="5"/>
        <w:rPr>
          <w:rFonts w:ascii="Times New Roman" w:hAnsi="Times New Roman" w:eastAsia="Calibri"/>
          <w:sz w:val="22"/>
          <w:szCs w:val="22"/>
        </w:rPr>
      </w:pPr>
    </w:p>
    <w:p>
      <w:pPr>
        <w:pStyle w:val="5"/>
        <w:rPr>
          <w:rFonts w:ascii="Times New Roman" w:hAnsi="Times New Roman" w:eastAsia="Calibri"/>
          <w:sz w:val="22"/>
          <w:szCs w:val="22"/>
        </w:rPr>
      </w:pPr>
    </w:p>
    <w:p>
      <w:pPr>
        <w:pStyle w:val="5"/>
        <w:rPr>
          <w:rFonts w:ascii="Times New Roman" w:hAnsi="Times New Roman" w:eastAsia="Calibri"/>
          <w:b/>
          <w:bCs/>
          <w:sz w:val="22"/>
          <w:szCs w:val="22"/>
        </w:rPr>
      </w:pPr>
      <w:r>
        <w:rPr>
          <w:rFonts w:ascii="Times New Roman" w:hAnsi="Times New Roman" w:eastAsia="Calibri"/>
          <w:b/>
          <w:bCs/>
          <w:sz w:val="22"/>
          <w:szCs w:val="22"/>
        </w:rPr>
        <w:t>KPIs</w:t>
      </w:r>
    </w:p>
    <w:p>
      <w:pPr>
        <w:numPr>
          <w:ilvl w:val="0"/>
          <w:numId w:val="3"/>
        </w:numPr>
        <w:shd w:val="clear" w:color="auto" w:fill="FFFFFF"/>
        <w:autoSpaceDE w:val="0"/>
        <w:spacing w:after="0"/>
        <w:ind w:left="425" w:leftChars="0" w:hanging="65" w:firstLineChars="0"/>
        <w:rPr>
          <w:rFonts w:ascii="Times New Roman" w:hAnsi="Times New Roman"/>
          <w:color w:val="000000"/>
          <w:sz w:val="22"/>
          <w:szCs w:val="22"/>
        </w:rPr>
      </w:pPr>
      <w:r>
        <w:rPr>
          <w:rFonts w:ascii="Times New Roman" w:hAnsi="Times New Roman"/>
          <w:sz w:val="22"/>
          <w:szCs w:val="22"/>
        </w:rPr>
        <w:t>New opportunities for marketing, and other interventions</w:t>
      </w:r>
      <w:r>
        <w:rPr>
          <w:rFonts w:hint="default" w:ascii="Times New Roman" w:hAnsi="Times New Roman"/>
          <w:sz w:val="22"/>
          <w:szCs w:val="22"/>
          <w:lang w:val="en-US"/>
        </w:rPr>
        <w:t xml:space="preserve"> identified</w:t>
      </w:r>
    </w:p>
    <w:p>
      <w:pPr>
        <w:numPr>
          <w:ilvl w:val="0"/>
          <w:numId w:val="3"/>
        </w:numPr>
        <w:shd w:val="clear" w:color="auto" w:fill="FFFFFF"/>
        <w:autoSpaceDE w:val="0"/>
        <w:spacing w:after="0"/>
        <w:ind w:left="425" w:leftChars="0" w:hanging="65" w:firstLineChars="0"/>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ascii="Times New Roman" w:hAnsi="Times New Roman"/>
          <w:sz w:val="22"/>
          <w:szCs w:val="22"/>
        </w:rPr>
        <w:t>Communication solutions recommended to clients</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0" w:afterAutospacing="0" w:line="240" w:lineRule="auto"/>
        <w:ind w:left="425" w:leftChars="0" w:hanging="65" w:firstLineChars="0"/>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Quality and precision of insights provided in report to client (client;s  rating)</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0" w:afterAutospacing="0" w:line="240" w:lineRule="auto"/>
        <w:ind w:left="425" w:leftChars="0" w:hanging="65" w:firstLineChars="0"/>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 xml:space="preserve">Content of reports over a period of one month must cover competitive intelligence , industry and </w:t>
      </w:r>
      <w:r>
        <w:rPr>
          <w:rFonts w:hint="default" w:ascii="Times New Roman" w:hAnsi="Times New Roman" w:eastAsia="Times New Roman" w:cs="Times New Roman"/>
          <w:color w:val="000000" w:themeColor="text1"/>
          <w:sz w:val="22"/>
          <w:szCs w:val="22"/>
          <w:lang w:val="en-US"/>
          <w14:textFill>
            <w14:solidFill>
              <w14:schemeClr w14:val="tx1"/>
            </w14:solidFill>
          </w14:textFill>
        </w:rPr>
        <w:tab/>
      </w:r>
      <w:r>
        <w:rPr>
          <w:rFonts w:hint="default" w:ascii="Times New Roman" w:hAnsi="Times New Roman" w:eastAsia="Times New Roman" w:cs="Times New Roman"/>
          <w:color w:val="000000" w:themeColor="text1"/>
          <w:sz w:val="22"/>
          <w:szCs w:val="22"/>
          <w:lang w:val="en-US"/>
          <w14:textFill>
            <w14:solidFill>
              <w14:schemeClr w14:val="tx1"/>
            </w14:solidFill>
          </w14:textFill>
        </w:rPr>
        <w:t>crisis management (were applicable)</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0" w:afterAutospacing="0" w:line="240" w:lineRule="auto"/>
        <w:ind w:left="425" w:leftChars="0" w:hanging="65" w:firstLineChars="0"/>
        <w:textAlignment w:val="auto"/>
        <w:rPr>
          <w:rFonts w:hint="default" w:ascii="Times New Roman" w:hAnsi="Times New Roman" w:eastAsia="Times New Roman" w:cs="Times New Roman"/>
          <w:color w:val="000000" w:themeColor="text1"/>
          <w:sz w:val="22"/>
          <w:szCs w:val="22"/>
          <w:lang w:val="en-US"/>
          <w14:textFill>
            <w14:solidFill>
              <w14:schemeClr w14:val="tx1"/>
            </w14:solidFill>
          </w14:textFill>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 xml:space="preserve">Timeliness of insights for company and client use </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beforeAutospacing="0" w:after="0" w:afterAutospacing="0" w:line="240" w:lineRule="auto"/>
        <w:ind w:left="425" w:leftChars="0" w:hanging="65" w:firstLineChars="0"/>
        <w:textAlignment w:val="auto"/>
        <w:rPr>
          <w:rFonts w:hint="default"/>
          <w:sz w:val="22"/>
          <w:szCs w:val="22"/>
          <w:lang w:val="en-US"/>
        </w:rPr>
      </w:pPr>
      <w:r>
        <w:rPr>
          <w:rFonts w:hint="default" w:ascii="Times New Roman" w:hAnsi="Times New Roman" w:eastAsia="Times New Roman" w:cs="Times New Roman"/>
          <w:color w:val="000000" w:themeColor="text1"/>
          <w:sz w:val="22"/>
          <w:szCs w:val="22"/>
          <w:lang w:val="en-US"/>
          <w14:textFill>
            <w14:solidFill>
              <w14:schemeClr w14:val="tx1"/>
            </w14:solidFill>
          </w14:textFill>
        </w:rPr>
        <w:t>Level of provocativeness in detecting and mitigating potential crisis /reputation risk</w:t>
      </w:r>
    </w:p>
    <w:p>
      <w:pPr>
        <w:numPr>
          <w:ilvl w:val="0"/>
          <w:numId w:val="0"/>
        </w:numPr>
        <w:shd w:val="clear" w:color="auto" w:fill="FFFFFF"/>
        <w:autoSpaceDE w:val="0"/>
        <w:spacing w:after="0"/>
        <w:ind w:left="360" w:leftChars="0"/>
        <w:rPr>
          <w:rFonts w:ascii="Times New Roman" w:hAnsi="Times New Roman"/>
          <w:color w:val="000000"/>
        </w:rPr>
      </w:pPr>
    </w:p>
    <w:sectPr>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9BFDE6"/>
    <w:multiLevelType w:val="multilevel"/>
    <w:tmpl w:val="219BFDE6"/>
    <w:lvl w:ilvl="0" w:tentative="0">
      <w:start w:val="1"/>
      <w:numFmt w:val="decimal"/>
      <w:lvlText w:val="%1."/>
      <w:lvlJc w:val="left"/>
      <w:pPr>
        <w:tabs>
          <w:tab w:val="left" w:pos="425"/>
        </w:tabs>
        <w:ind w:left="425" w:leftChars="0" w:hanging="65" w:firstLineChars="0"/>
      </w:pPr>
      <w:rPr>
        <w:rFonts w:hint="default" w:ascii="Symbol" w:hAnsi="Symbol"/>
      </w:rPr>
    </w:lvl>
    <w:lvl w:ilvl="1" w:tentative="0">
      <w:start w:val="1"/>
      <w:numFmt w:val="lowerLetter"/>
      <w:lvlText w:val="%2."/>
      <w:lvlJc w:val="left"/>
      <w:pPr>
        <w:tabs>
          <w:tab w:val="left" w:pos="425"/>
        </w:tabs>
        <w:ind w:left="425" w:leftChars="0" w:firstLine="655" w:firstLineChars="0"/>
      </w:pPr>
      <w:rPr>
        <w:rFonts w:hint="default" w:ascii="Courier New" w:hAnsi="Courier New"/>
      </w:rPr>
    </w:lvl>
    <w:lvl w:ilvl="2" w:tentative="0">
      <w:start w:val="1"/>
      <w:numFmt w:val="lowerRoman"/>
      <w:lvlText w:val="%3."/>
      <w:lvlJc w:val="left"/>
      <w:pPr>
        <w:tabs>
          <w:tab w:val="left" w:pos="425"/>
        </w:tabs>
        <w:ind w:left="425" w:leftChars="0" w:firstLine="1375" w:firstLineChars="0"/>
      </w:pPr>
      <w:rPr>
        <w:rFonts w:hint="default" w:ascii="Wingdings" w:hAnsi="Wingdings"/>
      </w:rPr>
    </w:lvl>
    <w:lvl w:ilvl="3" w:tentative="0">
      <w:start w:val="1"/>
      <w:numFmt w:val="decimal"/>
      <w:lvlText w:val="%4."/>
      <w:lvlJc w:val="left"/>
      <w:pPr>
        <w:tabs>
          <w:tab w:val="left" w:pos="425"/>
        </w:tabs>
        <w:ind w:left="425" w:leftChars="0" w:firstLine="2095" w:firstLineChars="0"/>
      </w:pPr>
      <w:rPr>
        <w:rFonts w:hint="default" w:ascii="Wingdings" w:hAnsi="Wingdings"/>
      </w:rPr>
    </w:lvl>
    <w:lvl w:ilvl="4" w:tentative="0">
      <w:start w:val="1"/>
      <w:numFmt w:val="lowerLetter"/>
      <w:lvlText w:val="%5."/>
      <w:lvlJc w:val="left"/>
      <w:pPr>
        <w:tabs>
          <w:tab w:val="left" w:pos="425"/>
        </w:tabs>
        <w:ind w:left="425" w:leftChars="0" w:firstLine="2815" w:firstLineChars="0"/>
      </w:pPr>
      <w:rPr>
        <w:rFonts w:hint="default" w:ascii="Wingdings" w:hAnsi="Wingdings"/>
      </w:rPr>
    </w:lvl>
    <w:lvl w:ilvl="5" w:tentative="0">
      <w:start w:val="1"/>
      <w:numFmt w:val="lowerRoman"/>
      <w:lvlText w:val="%6."/>
      <w:lvlJc w:val="left"/>
      <w:pPr>
        <w:tabs>
          <w:tab w:val="left" w:pos="425"/>
        </w:tabs>
        <w:ind w:left="425" w:leftChars="0" w:firstLine="3535" w:firstLineChars="0"/>
      </w:pPr>
      <w:rPr>
        <w:rFonts w:hint="default" w:ascii="Wingdings" w:hAnsi="Wingdings"/>
      </w:rPr>
    </w:lvl>
    <w:lvl w:ilvl="6" w:tentative="0">
      <w:start w:val="1"/>
      <w:numFmt w:val="decimal"/>
      <w:lvlText w:val="%7."/>
      <w:lvlJc w:val="left"/>
      <w:pPr>
        <w:tabs>
          <w:tab w:val="left" w:pos="425"/>
        </w:tabs>
        <w:ind w:left="425" w:leftChars="0" w:firstLine="4255" w:firstLineChars="0"/>
      </w:pPr>
      <w:rPr>
        <w:rFonts w:hint="default" w:ascii="Wingdings" w:hAnsi="Wingdings"/>
      </w:rPr>
    </w:lvl>
    <w:lvl w:ilvl="7" w:tentative="0">
      <w:start w:val="1"/>
      <w:numFmt w:val="lowerLetter"/>
      <w:lvlText w:val="%8."/>
      <w:lvlJc w:val="left"/>
      <w:pPr>
        <w:tabs>
          <w:tab w:val="left" w:pos="425"/>
        </w:tabs>
        <w:ind w:left="425" w:leftChars="0" w:firstLine="4975" w:firstLineChars="0"/>
      </w:pPr>
      <w:rPr>
        <w:rFonts w:hint="default" w:ascii="Wingdings" w:hAnsi="Wingdings"/>
      </w:rPr>
    </w:lvl>
    <w:lvl w:ilvl="8" w:tentative="0">
      <w:start w:val="1"/>
      <w:numFmt w:val="lowerRoman"/>
      <w:lvlText w:val="%9."/>
      <w:lvlJc w:val="left"/>
      <w:pPr>
        <w:tabs>
          <w:tab w:val="left" w:pos="425"/>
        </w:tabs>
        <w:ind w:left="425" w:leftChars="0" w:firstLine="5695" w:firstLineChars="0"/>
      </w:pPr>
      <w:rPr>
        <w:rFonts w:hint="default" w:ascii="Wingdings" w:hAnsi="Wingdings"/>
      </w:rPr>
    </w:lvl>
  </w:abstractNum>
  <w:abstractNum w:abstractNumId="1">
    <w:nsid w:val="228D374C"/>
    <w:multiLevelType w:val="multilevel"/>
    <w:tmpl w:val="228D374C"/>
    <w:lvl w:ilvl="0" w:tentative="0">
      <w:start w:val="1"/>
      <w:numFmt w:val="bullet"/>
      <w:lvlText w:val=""/>
      <w:lvlJc w:val="left"/>
      <w:pPr>
        <w:tabs>
          <w:tab w:val="left" w:pos="720"/>
        </w:tabs>
        <w:ind w:left="720" w:hanging="360"/>
      </w:pPr>
      <w:rPr>
        <w:rFonts w:hint="default" w:ascii="Symbol" w:hAnsi="Symbol"/>
        <w:sz w:val="20"/>
        <w:szCs w:val="20"/>
      </w:rPr>
    </w:lvl>
    <w:lvl w:ilvl="1" w:tentative="0">
      <w:start w:val="1"/>
      <w:numFmt w:val="bullet"/>
      <w:lvlText w:val="o"/>
      <w:lvlJc w:val="left"/>
      <w:pPr>
        <w:tabs>
          <w:tab w:val="left" w:pos="1440"/>
        </w:tabs>
        <w:ind w:left="1440" w:hanging="360"/>
      </w:pPr>
      <w:rPr>
        <w:rFonts w:hint="default" w:ascii="Courier New" w:hAnsi="Courier New" w:cs="Courier New"/>
        <w:sz w:val="20"/>
        <w:szCs w:val="20"/>
      </w:rPr>
    </w:lvl>
    <w:lvl w:ilvl="2" w:tentative="0">
      <w:start w:val="1"/>
      <w:numFmt w:val="bullet"/>
      <w:lvlText w:val=""/>
      <w:lvlJc w:val="left"/>
      <w:pPr>
        <w:tabs>
          <w:tab w:val="left" w:pos="2160"/>
        </w:tabs>
        <w:ind w:left="2160" w:hanging="360"/>
      </w:pPr>
      <w:rPr>
        <w:rFonts w:hint="default" w:ascii="Wingdings" w:hAnsi="Wingdings"/>
        <w:sz w:val="20"/>
        <w:szCs w:val="20"/>
      </w:rPr>
    </w:lvl>
    <w:lvl w:ilvl="3" w:tentative="0">
      <w:start w:val="1"/>
      <w:numFmt w:val="bullet"/>
      <w:lvlText w:val=""/>
      <w:lvlJc w:val="left"/>
      <w:pPr>
        <w:tabs>
          <w:tab w:val="left" w:pos="2880"/>
        </w:tabs>
        <w:ind w:left="2880" w:hanging="360"/>
      </w:pPr>
      <w:rPr>
        <w:rFonts w:hint="default" w:ascii="Wingdings" w:hAnsi="Wingdings"/>
        <w:sz w:val="20"/>
        <w:szCs w:val="20"/>
      </w:rPr>
    </w:lvl>
    <w:lvl w:ilvl="4" w:tentative="0">
      <w:start w:val="1"/>
      <w:numFmt w:val="bullet"/>
      <w:lvlText w:val=""/>
      <w:lvlJc w:val="left"/>
      <w:pPr>
        <w:tabs>
          <w:tab w:val="left" w:pos="3600"/>
        </w:tabs>
        <w:ind w:left="3600" w:hanging="360"/>
      </w:pPr>
      <w:rPr>
        <w:rFonts w:hint="default" w:ascii="Wingdings" w:hAnsi="Wingdings"/>
        <w:sz w:val="20"/>
        <w:szCs w:val="20"/>
      </w:rPr>
    </w:lvl>
    <w:lvl w:ilvl="5" w:tentative="0">
      <w:start w:val="1"/>
      <w:numFmt w:val="bullet"/>
      <w:lvlText w:val=""/>
      <w:lvlJc w:val="left"/>
      <w:pPr>
        <w:tabs>
          <w:tab w:val="left" w:pos="4320"/>
        </w:tabs>
        <w:ind w:left="4320" w:hanging="360"/>
      </w:pPr>
      <w:rPr>
        <w:rFonts w:hint="default" w:ascii="Wingdings" w:hAnsi="Wingdings"/>
        <w:sz w:val="20"/>
        <w:szCs w:val="20"/>
      </w:rPr>
    </w:lvl>
    <w:lvl w:ilvl="6" w:tentative="0">
      <w:start w:val="1"/>
      <w:numFmt w:val="bullet"/>
      <w:lvlText w:val=""/>
      <w:lvlJc w:val="left"/>
      <w:pPr>
        <w:tabs>
          <w:tab w:val="left" w:pos="5040"/>
        </w:tabs>
        <w:ind w:left="5040" w:hanging="360"/>
      </w:pPr>
      <w:rPr>
        <w:rFonts w:hint="default" w:ascii="Wingdings" w:hAnsi="Wingdings"/>
        <w:sz w:val="20"/>
        <w:szCs w:val="20"/>
      </w:rPr>
    </w:lvl>
    <w:lvl w:ilvl="7" w:tentative="0">
      <w:start w:val="1"/>
      <w:numFmt w:val="bullet"/>
      <w:lvlText w:val=""/>
      <w:lvlJc w:val="left"/>
      <w:pPr>
        <w:tabs>
          <w:tab w:val="left" w:pos="5760"/>
        </w:tabs>
        <w:ind w:left="5760" w:hanging="360"/>
      </w:pPr>
      <w:rPr>
        <w:rFonts w:hint="default" w:ascii="Wingdings" w:hAnsi="Wingdings"/>
        <w:sz w:val="20"/>
        <w:szCs w:val="20"/>
      </w:rPr>
    </w:lvl>
    <w:lvl w:ilvl="8" w:tentative="0">
      <w:start w:val="1"/>
      <w:numFmt w:val="bullet"/>
      <w:lvlText w:val=""/>
      <w:lvlJc w:val="left"/>
      <w:pPr>
        <w:tabs>
          <w:tab w:val="left" w:pos="6480"/>
        </w:tabs>
        <w:ind w:left="6480" w:hanging="360"/>
      </w:pPr>
      <w:rPr>
        <w:rFonts w:hint="default" w:ascii="Wingdings" w:hAnsi="Wingdings"/>
        <w:sz w:val="20"/>
        <w:szCs w:val="20"/>
      </w:rPr>
    </w:lvl>
  </w:abstractNum>
  <w:abstractNum w:abstractNumId="2">
    <w:nsid w:val="5FAD48DA"/>
    <w:multiLevelType w:val="multilevel"/>
    <w:tmpl w:val="5FAD48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documentProtection w:enforcement="0"/>
  <w:defaultTabStop w:val="720"/>
  <w:autoHyphenation/>
  <w:characterSpacingControl w:val="doNotCompress"/>
  <w:footnotePr>
    <w:footnote w:id="0"/>
    <w:footnote w:id="1"/>
  </w:footnotePr>
  <w:endnotePr>
    <w:endnote w:id="0"/>
    <w:endnote w:id="1"/>
  </w:endnotePr>
  <w:compat>
    <w:compatSetting w:name="compatibilityMode" w:uri="http://schemas.microsoft.com/office/word" w:val="15"/>
  </w:compat>
  <w:rsids>
    <w:rsidRoot w:val="00434CE2"/>
    <w:rsid w:val="00263F42"/>
    <w:rsid w:val="00434CE2"/>
    <w:rsid w:val="007761B1"/>
    <w:rsid w:val="008C6C87"/>
    <w:rsid w:val="008F2CB3"/>
    <w:rsid w:val="00A67E5F"/>
    <w:rsid w:val="00A85FFE"/>
    <w:rsid w:val="00C77682"/>
    <w:rsid w:val="00EC3541"/>
    <w:rsid w:val="00F11F07"/>
    <w:rsid w:val="0FAE784A"/>
    <w:rsid w:val="14612A4F"/>
    <w:rsid w:val="175E7096"/>
    <w:rsid w:val="58DD661A"/>
    <w:rsid w:val="71DC7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before="100" w:after="160" w:line="254" w:lineRule="auto"/>
      <w:textAlignment w:val="baseline"/>
    </w:pPr>
    <w:rPr>
      <w:rFonts w:ascii="Calibri" w:hAnsi="Calibri" w:eastAsia="Times New Roman"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uppressAutoHyphens w:val="0"/>
      <w:autoSpaceDN/>
      <w:spacing w:beforeAutospacing="1" w:after="100" w:afterAutospacing="1" w:line="240" w:lineRule="auto"/>
      <w:textAlignment w:val="auto"/>
    </w:pPr>
    <w:rPr>
      <w:rFonts w:ascii="Times New Roman" w:hAnsi="Times New Roman"/>
      <w:sz w:val="24"/>
      <w:szCs w:val="24"/>
    </w:rPr>
  </w:style>
  <w:style w:type="paragraph" w:styleId="5">
    <w:name w:val="List Paragraph"/>
    <w:basedOn w:val="1"/>
    <w:qFormat/>
    <w:uiPriority w:val="99"/>
    <w:pPr>
      <w:ind w:left="7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355</Words>
  <Characters>2027</Characters>
  <Lines>16</Lines>
  <Paragraphs>4</Paragraphs>
  <TotalTime>3</TotalTime>
  <ScaleCrop>false</ScaleCrop>
  <LinksUpToDate>false</LinksUpToDate>
  <CharactersWithSpaces>2378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2024-02-28T09:47:00Z</dcterms:created>
  <dc:creator>Damilola Adebesin</dc:creator>
  <cp:lastModifiedBy>WPS_1709815528</cp:lastModifiedBy>
  <cp:lastPrinted>2024-04-12T09:52:00Z</cp:lastPrinted>
  <dcterms:modified xsi:type="dcterms:W3CDTF">2024-04-16T07:27:25Z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0276D55743994AFC995A10680A50099E_13</vt:lpwstr>
  </property>
</Properties>
</file>